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81" w:rsidRPr="00935945" w:rsidRDefault="00801E43" w:rsidP="006C4881">
      <w:pPr>
        <w:jc w:val="center"/>
        <w:rPr>
          <w:b/>
        </w:rPr>
      </w:pPr>
      <w:bookmarkStart w:id="0" w:name="_GoBack"/>
      <w:r w:rsidRPr="00935945">
        <w:rPr>
          <w:b/>
        </w:rPr>
        <w:t>Simmons College Baccalaureate Social Work Program</w:t>
      </w:r>
    </w:p>
    <w:p w:rsidR="00801E43" w:rsidRPr="00935945" w:rsidRDefault="00801E43" w:rsidP="006C4881">
      <w:pPr>
        <w:jc w:val="center"/>
        <w:rPr>
          <w:b/>
        </w:rPr>
      </w:pPr>
      <w:r w:rsidRPr="00935945">
        <w:rPr>
          <w:b/>
        </w:rPr>
        <w:t>Assessment of Student Learning Outcomes</w:t>
      </w:r>
    </w:p>
    <w:bookmarkEnd w:id="0"/>
    <w:p w:rsidR="00801E43" w:rsidRDefault="00801E43" w:rsidP="006C4881">
      <w:pPr>
        <w:jc w:val="center"/>
      </w:pPr>
      <w:r w:rsidRPr="00861248">
        <w:t>LAST COMPLETED ON ________</w:t>
      </w:r>
      <w:r w:rsidR="00861248" w:rsidRPr="00861248">
        <w:rPr>
          <w:u w:val="single"/>
        </w:rPr>
        <w:t>June 6, 2017</w:t>
      </w:r>
      <w:r w:rsidRPr="00861248"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620"/>
        <w:gridCol w:w="4320"/>
      </w:tblGrid>
      <w:tr w:rsidR="00801E43" w:rsidTr="00801E43">
        <w:tc>
          <w:tcPr>
            <w:tcW w:w="6925" w:type="dxa"/>
          </w:tcPr>
          <w:p w:rsidR="00801E43" w:rsidRDefault="00801E43" w:rsidP="006C4881">
            <w:pPr>
              <w:jc w:val="center"/>
            </w:pPr>
            <w:r>
              <w:t>Competency</w:t>
            </w:r>
          </w:p>
        </w:tc>
        <w:tc>
          <w:tcPr>
            <w:tcW w:w="1620" w:type="dxa"/>
          </w:tcPr>
          <w:p w:rsidR="00801E43" w:rsidRDefault="00801E43" w:rsidP="006C4881">
            <w:pPr>
              <w:jc w:val="center"/>
            </w:pPr>
            <w:r>
              <w:t>Benchmark</w:t>
            </w:r>
          </w:p>
        </w:tc>
        <w:tc>
          <w:tcPr>
            <w:tcW w:w="4320" w:type="dxa"/>
          </w:tcPr>
          <w:p w:rsidR="00801E43" w:rsidRDefault="00801E43" w:rsidP="006C4881">
            <w:pPr>
              <w:jc w:val="center"/>
            </w:pPr>
            <w:r>
              <w:t>Percent of Students Achieving Competency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1:</w:t>
            </w:r>
          </w:p>
          <w:p w:rsidR="00801E43" w:rsidRDefault="00861248" w:rsidP="00861248">
            <w:r>
              <w:t>Demonstrate ethical and professional behavior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tabs>
                <w:tab w:val="left" w:pos="1155"/>
              </w:tabs>
              <w:jc w:val="center"/>
            </w:pPr>
            <w:r w:rsidRPr="00861248">
              <w:t>92.85%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2:</w:t>
            </w:r>
          </w:p>
          <w:p w:rsidR="00801E43" w:rsidRDefault="00861248" w:rsidP="00861248">
            <w:r>
              <w:t>Engage Diversity and Difference in Practice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100%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3:</w:t>
            </w:r>
          </w:p>
          <w:p w:rsidR="00801E43" w:rsidRDefault="00861248" w:rsidP="00861248">
            <w:r>
              <w:t>Advance Human Rights and Social, Economic, and Environmental Justice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100%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4:</w:t>
            </w:r>
          </w:p>
          <w:p w:rsidR="00801E43" w:rsidRDefault="00861248" w:rsidP="00861248">
            <w:r>
              <w:t>Engage in Practice-Informed Research and Research-Informed Practice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85.5%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5:</w:t>
            </w:r>
          </w:p>
          <w:p w:rsidR="00801E43" w:rsidRDefault="00861248" w:rsidP="00861248">
            <w:r>
              <w:t>Engage in Policy Practice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100%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6:</w:t>
            </w:r>
          </w:p>
          <w:p w:rsidR="00801E43" w:rsidRDefault="00861248" w:rsidP="00861248">
            <w:r>
              <w:t>Engage with Individuals, Families, Groups, Organizations and Communities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92.85%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7:</w:t>
            </w:r>
          </w:p>
          <w:p w:rsidR="00801E43" w:rsidRDefault="00861248" w:rsidP="00861248">
            <w:r>
              <w:t>Assess Individuals, Families, Groups, Organizations and Communities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92.85%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8:</w:t>
            </w:r>
          </w:p>
          <w:p w:rsidR="00801E43" w:rsidRDefault="00861248" w:rsidP="00861248">
            <w:pPr>
              <w:tabs>
                <w:tab w:val="left" w:pos="4860"/>
              </w:tabs>
            </w:pPr>
            <w:r>
              <w:t>Intervene with Individuals, Families, Groups, Organizations and Communities</w:t>
            </w:r>
            <w:r>
              <w:tab/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61248" w:rsidRPr="00861248" w:rsidRDefault="00861248" w:rsidP="00861248">
            <w:pPr>
              <w:jc w:val="center"/>
            </w:pPr>
            <w:r w:rsidRPr="00861248">
              <w:t>100%</w:t>
            </w:r>
          </w:p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Pr="00861248" w:rsidRDefault="00801E43" w:rsidP="00861248">
            <w:pPr>
              <w:jc w:val="center"/>
            </w:pPr>
          </w:p>
        </w:tc>
      </w:tr>
      <w:tr w:rsidR="00801E43" w:rsidTr="00801E43">
        <w:trPr>
          <w:trHeight w:val="270"/>
        </w:trPr>
        <w:tc>
          <w:tcPr>
            <w:tcW w:w="6925" w:type="dxa"/>
            <w:vMerge w:val="restart"/>
          </w:tcPr>
          <w:p w:rsidR="00861248" w:rsidRDefault="00861248" w:rsidP="00861248">
            <w:r>
              <w:t>Competency 9:</w:t>
            </w:r>
          </w:p>
          <w:p w:rsidR="00801E43" w:rsidRDefault="00861248" w:rsidP="00861248">
            <w:r>
              <w:t>Evaluate Practice with Individuals, Families, Groups, Organizations and Communities</w:t>
            </w:r>
          </w:p>
        </w:tc>
        <w:tc>
          <w:tcPr>
            <w:tcW w:w="1620" w:type="dxa"/>
            <w:vMerge w:val="restart"/>
          </w:tcPr>
          <w:p w:rsidR="00801E43" w:rsidRDefault="00801E43" w:rsidP="006C4881">
            <w:pPr>
              <w:jc w:val="center"/>
            </w:pPr>
            <w:r>
              <w:t>80%</w:t>
            </w:r>
          </w:p>
        </w:tc>
        <w:tc>
          <w:tcPr>
            <w:tcW w:w="4320" w:type="dxa"/>
            <w:vMerge w:val="restart"/>
          </w:tcPr>
          <w:p w:rsidR="00801E43" w:rsidRPr="00861248" w:rsidRDefault="00861248" w:rsidP="00861248">
            <w:pPr>
              <w:jc w:val="center"/>
            </w:pPr>
            <w:r w:rsidRPr="00861248">
              <w:t>100%</w:t>
            </w:r>
          </w:p>
        </w:tc>
      </w:tr>
      <w:tr w:rsidR="00801E43" w:rsidTr="00801E43">
        <w:trPr>
          <w:trHeight w:val="270"/>
        </w:trPr>
        <w:tc>
          <w:tcPr>
            <w:tcW w:w="6925" w:type="dxa"/>
            <w:vMerge/>
          </w:tcPr>
          <w:p w:rsidR="00801E43" w:rsidRDefault="00801E43" w:rsidP="006C4881"/>
        </w:tc>
        <w:tc>
          <w:tcPr>
            <w:tcW w:w="1620" w:type="dxa"/>
            <w:vMerge/>
          </w:tcPr>
          <w:p w:rsidR="00801E43" w:rsidRDefault="00801E43" w:rsidP="006C4881">
            <w:pPr>
              <w:jc w:val="center"/>
            </w:pPr>
          </w:p>
        </w:tc>
        <w:tc>
          <w:tcPr>
            <w:tcW w:w="4320" w:type="dxa"/>
            <w:vMerge/>
          </w:tcPr>
          <w:p w:rsidR="00801E43" w:rsidRDefault="00801E43" w:rsidP="006C4881"/>
        </w:tc>
      </w:tr>
    </w:tbl>
    <w:p w:rsidR="006C4881" w:rsidRDefault="006C4881"/>
    <w:sectPr w:rsidR="006C4881" w:rsidSect="006C4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1"/>
    <w:rsid w:val="00244B9E"/>
    <w:rsid w:val="006C4881"/>
    <w:rsid w:val="00801E43"/>
    <w:rsid w:val="00861248"/>
    <w:rsid w:val="008B774F"/>
    <w:rsid w:val="00921675"/>
    <w:rsid w:val="00935945"/>
    <w:rsid w:val="00B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A063-0944-4B03-9B8A-D7DE176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 Gould</dc:creator>
  <cp:keywords/>
  <dc:description/>
  <cp:lastModifiedBy>Paul Robert Gould</cp:lastModifiedBy>
  <cp:revision>2</cp:revision>
  <dcterms:created xsi:type="dcterms:W3CDTF">2017-09-22T15:10:00Z</dcterms:created>
  <dcterms:modified xsi:type="dcterms:W3CDTF">2017-09-22T15:10:00Z</dcterms:modified>
</cp:coreProperties>
</file>